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CB" w:rsidRDefault="002163CB" w:rsidP="002163CB">
      <w:pPr>
        <w:pStyle w:val="a3"/>
        <w:jc w:val="center"/>
        <w:rPr>
          <w:rFonts w:ascii="Times New Roman" w:hAnsi="Times New Roman"/>
          <w:sz w:val="24"/>
          <w:szCs w:val="32"/>
        </w:rPr>
      </w:pPr>
      <w:bookmarkStart w:id="0" w:name="_GoBack"/>
      <w:bookmarkEnd w:id="0"/>
      <w:r>
        <w:rPr>
          <w:rFonts w:ascii="Times New Roman" w:hAnsi="Times New Roman"/>
          <w:sz w:val="24"/>
          <w:szCs w:val="32"/>
        </w:rPr>
        <w:t>ГОДОВОЙ ОТЧЕТ</w:t>
      </w:r>
    </w:p>
    <w:p w:rsidR="002163CB" w:rsidRDefault="002163CB" w:rsidP="002163CB">
      <w:pPr>
        <w:pStyle w:val="a3"/>
        <w:jc w:val="center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Открытого Акционерного Общества «Гермес»</w:t>
      </w:r>
    </w:p>
    <w:p w:rsidR="002163CB" w:rsidRDefault="002163CB" w:rsidP="002163CB">
      <w:pPr>
        <w:pStyle w:val="a3"/>
        <w:jc w:val="center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за 2011 год.</w:t>
      </w:r>
    </w:p>
    <w:p w:rsidR="002163CB" w:rsidRDefault="002163CB" w:rsidP="002163CB">
      <w:pPr>
        <w:pStyle w:val="a3"/>
        <w:jc w:val="center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«ПРЕДВАРИТЕЛЬНО УТВЕРЖДЕН» </w:t>
      </w:r>
      <w:r w:rsidR="000A3E51">
        <w:rPr>
          <w:rFonts w:ascii="Times New Roman" w:hAnsi="Times New Roman"/>
          <w:sz w:val="24"/>
          <w:szCs w:val="32"/>
        </w:rPr>
        <w:t>Советом Директоров, Протокол № 4 от 1</w:t>
      </w:r>
      <w:r>
        <w:rPr>
          <w:rFonts w:ascii="Times New Roman" w:hAnsi="Times New Roman"/>
          <w:sz w:val="24"/>
          <w:szCs w:val="32"/>
        </w:rPr>
        <w:t>9.03.201</w:t>
      </w:r>
      <w:r w:rsidR="000A3E51">
        <w:rPr>
          <w:rFonts w:ascii="Times New Roman" w:hAnsi="Times New Roman"/>
          <w:sz w:val="24"/>
          <w:szCs w:val="32"/>
        </w:rPr>
        <w:t>2</w:t>
      </w:r>
      <w:r>
        <w:rPr>
          <w:rFonts w:ascii="Times New Roman" w:hAnsi="Times New Roman"/>
          <w:sz w:val="24"/>
          <w:szCs w:val="32"/>
        </w:rPr>
        <w:t xml:space="preserve">г. </w:t>
      </w: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Достоверность данных, содержащихся в годовом отчете Акционерного общества подтверждена ревизионной комиссией в составе:</w:t>
      </w: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Председатель ревизионной комиссии: Васильева М.И.</w:t>
      </w: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Члены ревизионной комиссии: Русова В.Э., Комина Т.Н.</w:t>
      </w: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УТВЕРЖДЕН:</w:t>
      </w: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Годовым общим собранием акционеров ОАО «Гермес»</w:t>
      </w:r>
    </w:p>
    <w:p w:rsidR="002163CB" w:rsidRDefault="002163CB" w:rsidP="002163CB">
      <w:pPr>
        <w:pStyle w:val="a3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Протокол № б/н от 30 марта 2012 г.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                                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1.Положение Акционерного общества в отрасли</w:t>
      </w:r>
    </w:p>
    <w:p w:rsidR="002163CB" w:rsidRDefault="002163CB" w:rsidP="002163CB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Полное наименование общества:</w:t>
      </w:r>
    </w:p>
    <w:p w:rsidR="002163CB" w:rsidRDefault="002163CB" w:rsidP="002163CB">
      <w:pPr>
        <w:pStyle w:val="a3"/>
        <w:ind w:left="709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Открытое Акционерное Общество «Гермес»</w:t>
      </w:r>
    </w:p>
    <w:p w:rsidR="002163CB" w:rsidRDefault="002163CB" w:rsidP="002163CB">
      <w:pPr>
        <w:pStyle w:val="a3"/>
        <w:numPr>
          <w:ilvl w:val="1"/>
          <w:numId w:val="1"/>
        </w:numPr>
        <w:ind w:left="709" w:hanging="709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Место нахождения: 157130,  Костромская обл., г.Чухлома, ул.Октября, д.31.</w:t>
      </w:r>
    </w:p>
    <w:p w:rsidR="002163CB" w:rsidRDefault="002163CB" w:rsidP="002163CB">
      <w:pPr>
        <w:pStyle w:val="a3"/>
        <w:numPr>
          <w:ilvl w:val="1"/>
          <w:numId w:val="1"/>
        </w:numPr>
        <w:ind w:left="709" w:hanging="709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Дата государственной регистрации общества 05 октября 1992</w:t>
      </w:r>
      <w:r w:rsidR="002C765C">
        <w:rPr>
          <w:rFonts w:ascii="Times New Roman" w:hAnsi="Times New Roman"/>
          <w:sz w:val="24"/>
          <w:szCs w:val="32"/>
        </w:rPr>
        <w:t xml:space="preserve"> </w:t>
      </w:r>
      <w:r>
        <w:rPr>
          <w:rFonts w:ascii="Times New Roman" w:hAnsi="Times New Roman"/>
          <w:sz w:val="24"/>
          <w:szCs w:val="32"/>
        </w:rPr>
        <w:t>года, регистрационный номер 51.</w:t>
      </w:r>
    </w:p>
    <w:p w:rsidR="002163CB" w:rsidRDefault="002163CB" w:rsidP="002163CB">
      <w:pPr>
        <w:pStyle w:val="a3"/>
        <w:numPr>
          <w:ilvl w:val="1"/>
          <w:numId w:val="1"/>
        </w:numPr>
        <w:ind w:left="709" w:hanging="709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Сведения об уставном капитале. Уставной капитал общества составляет </w:t>
      </w:r>
      <w:r w:rsidR="002C765C">
        <w:rPr>
          <w:rFonts w:ascii="Times New Roman" w:hAnsi="Times New Roman"/>
          <w:sz w:val="24"/>
          <w:szCs w:val="32"/>
        </w:rPr>
        <w:t xml:space="preserve">1080000 </w:t>
      </w:r>
      <w:r>
        <w:rPr>
          <w:rFonts w:ascii="Times New Roman" w:hAnsi="Times New Roman"/>
          <w:sz w:val="24"/>
          <w:szCs w:val="32"/>
        </w:rPr>
        <w:t>рублей, он разделен на 27000 обыкновенны</w:t>
      </w:r>
      <w:r w:rsidR="002C765C">
        <w:rPr>
          <w:rFonts w:ascii="Times New Roman" w:hAnsi="Times New Roman"/>
          <w:sz w:val="24"/>
          <w:szCs w:val="32"/>
        </w:rPr>
        <w:t>х акций, номинальная стоимость 40 рублей (Решение об увеличении Уставного капитала Общества принято на общем собрании акционеров, 25 марта 2011 года).</w:t>
      </w:r>
    </w:p>
    <w:p w:rsidR="002163CB" w:rsidRDefault="002163CB" w:rsidP="002163CB">
      <w:pPr>
        <w:pStyle w:val="a3"/>
        <w:numPr>
          <w:ilvl w:val="1"/>
          <w:numId w:val="1"/>
        </w:numPr>
        <w:ind w:left="709" w:hanging="709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Количество акционеров, зарегистрированных в реестре 46</w:t>
      </w:r>
      <w:r w:rsidR="00370293">
        <w:rPr>
          <w:rFonts w:ascii="Times New Roman" w:hAnsi="Times New Roman"/>
          <w:sz w:val="24"/>
          <w:szCs w:val="32"/>
        </w:rPr>
        <w:t>7</w:t>
      </w:r>
      <w:r>
        <w:rPr>
          <w:rFonts w:ascii="Times New Roman" w:hAnsi="Times New Roman"/>
          <w:sz w:val="24"/>
          <w:szCs w:val="32"/>
        </w:rPr>
        <w:t>, в том числе количество акционеров, имеющих право на участие в годовом собрании акционеров 46</w:t>
      </w:r>
      <w:r w:rsidR="00370293">
        <w:rPr>
          <w:rFonts w:ascii="Times New Roman" w:hAnsi="Times New Roman"/>
          <w:sz w:val="24"/>
          <w:szCs w:val="32"/>
        </w:rPr>
        <w:t>7</w:t>
      </w:r>
      <w:r>
        <w:rPr>
          <w:rFonts w:ascii="Times New Roman" w:hAnsi="Times New Roman"/>
          <w:sz w:val="24"/>
          <w:szCs w:val="32"/>
        </w:rPr>
        <w:t>.                                  Количество крупных акционеров, владеющих более 5% голосующих акций общества 2; более 2% голосующих акций общества 1.</w:t>
      </w:r>
    </w:p>
    <w:p w:rsidR="002163CB" w:rsidRDefault="002163CB" w:rsidP="002163CB">
      <w:pPr>
        <w:pStyle w:val="a3"/>
        <w:numPr>
          <w:ilvl w:val="1"/>
          <w:numId w:val="1"/>
        </w:numPr>
        <w:ind w:left="709" w:hanging="709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Аудитор общества ООО «КОНТАКТ-АУДИТ», лицензия №Е002067 от 30.09.2002г.</w:t>
      </w:r>
    </w:p>
    <w:p w:rsidR="002163CB" w:rsidRDefault="002163CB" w:rsidP="002163CB">
      <w:pPr>
        <w:pStyle w:val="a3"/>
        <w:numPr>
          <w:ilvl w:val="1"/>
          <w:numId w:val="1"/>
        </w:numPr>
        <w:ind w:left="709" w:hanging="709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Реестродержателем общества является ОАО «</w:t>
      </w:r>
      <w:r w:rsidR="002A33D5">
        <w:rPr>
          <w:rFonts w:ascii="Times New Roman" w:hAnsi="Times New Roman"/>
          <w:sz w:val="24"/>
          <w:szCs w:val="32"/>
        </w:rPr>
        <w:t>Реестр</w:t>
      </w:r>
      <w:r>
        <w:rPr>
          <w:rFonts w:ascii="Times New Roman" w:hAnsi="Times New Roman"/>
          <w:sz w:val="24"/>
          <w:szCs w:val="32"/>
        </w:rPr>
        <w:t xml:space="preserve">» лицензия </w:t>
      </w:r>
      <w:r w:rsidR="002A33D5">
        <w:rPr>
          <w:rFonts w:ascii="Times New Roman" w:hAnsi="Times New Roman"/>
          <w:sz w:val="24"/>
          <w:szCs w:val="32"/>
        </w:rPr>
        <w:t>ФСФР</w:t>
      </w:r>
      <w:r>
        <w:rPr>
          <w:rFonts w:ascii="Times New Roman" w:hAnsi="Times New Roman"/>
          <w:sz w:val="24"/>
          <w:szCs w:val="32"/>
        </w:rPr>
        <w:t xml:space="preserve"> Р</w:t>
      </w:r>
      <w:r w:rsidR="002A33D5">
        <w:rPr>
          <w:rFonts w:ascii="Times New Roman" w:hAnsi="Times New Roman"/>
          <w:sz w:val="24"/>
          <w:szCs w:val="32"/>
        </w:rPr>
        <w:t>Ф</w:t>
      </w:r>
      <w:r>
        <w:rPr>
          <w:rFonts w:ascii="Times New Roman" w:hAnsi="Times New Roman"/>
          <w:sz w:val="24"/>
          <w:szCs w:val="32"/>
        </w:rPr>
        <w:t xml:space="preserve"> от 13.09.2002г. № </w:t>
      </w:r>
      <w:r w:rsidR="002A33D5">
        <w:rPr>
          <w:rFonts w:ascii="Times New Roman" w:hAnsi="Times New Roman"/>
          <w:sz w:val="24"/>
          <w:szCs w:val="32"/>
        </w:rPr>
        <w:t>10-000-1-00254</w:t>
      </w:r>
      <w:r>
        <w:rPr>
          <w:rFonts w:ascii="Times New Roman" w:hAnsi="Times New Roman"/>
          <w:sz w:val="24"/>
          <w:szCs w:val="32"/>
        </w:rPr>
        <w:t>.</w:t>
      </w:r>
    </w:p>
    <w:p w:rsidR="002163CB" w:rsidRDefault="002163CB" w:rsidP="002163CB">
      <w:pPr>
        <w:pStyle w:val="a3"/>
        <w:numPr>
          <w:ilvl w:val="1"/>
          <w:numId w:val="1"/>
        </w:numPr>
        <w:ind w:left="709" w:hanging="709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Информация об обществе публикуется в районной газете «Вперед».</w:t>
      </w:r>
    </w:p>
    <w:p w:rsidR="002163CB" w:rsidRDefault="002163CB" w:rsidP="002163CB">
      <w:pPr>
        <w:pStyle w:val="a3"/>
        <w:ind w:firstLine="709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2.Приоритетные направления деятельности Акционерного общества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Открытое Акционерное Общество «Гермес» осуществляет следующую деятельность: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- розничная торговля;</w:t>
      </w:r>
    </w:p>
    <w:p w:rsidR="002163CB" w:rsidRDefault="002163CB" w:rsidP="002163CB">
      <w:pPr>
        <w:pStyle w:val="a3"/>
        <w:ind w:left="12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общественное питание;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- сдача помещений в аренду и прочие услуги.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     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3.Информация об объеме каждого из использованных акционерным обществом в отчетном году видов энергетических ресурсов в натуральном выражении и в денежном выражении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ОАО «Гермес» в отчетном году использовало следующие виды энергетических ресурсов:</w:t>
      </w:r>
    </w:p>
    <w:p w:rsidR="002163CB" w:rsidRDefault="002163CB" w:rsidP="002163C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электрическая энергия –282 тыс.квт на сумму 1334 тыс.руб.;</w:t>
      </w:r>
    </w:p>
    <w:p w:rsidR="002163CB" w:rsidRDefault="002163CB" w:rsidP="002163C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бензин автомобильный – 36,2 тонн на сумму 1030,7 тыс.руб.</w:t>
      </w:r>
    </w:p>
    <w:p w:rsidR="002163CB" w:rsidRDefault="002163CB" w:rsidP="002163CB">
      <w:pPr>
        <w:pStyle w:val="a3"/>
        <w:ind w:left="360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ind w:hanging="180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   4</w:t>
      </w:r>
      <w:r>
        <w:rPr>
          <w:rFonts w:ascii="Times New Roman" w:hAnsi="Times New Roman"/>
          <w:b/>
          <w:bCs/>
          <w:sz w:val="24"/>
          <w:szCs w:val="32"/>
        </w:rPr>
        <w:t>.</w:t>
      </w:r>
      <w:r>
        <w:rPr>
          <w:rFonts w:ascii="Times New Roman" w:hAnsi="Times New Roman"/>
          <w:sz w:val="24"/>
          <w:szCs w:val="32"/>
        </w:rPr>
        <w:t xml:space="preserve"> </w:t>
      </w:r>
      <w:r>
        <w:rPr>
          <w:rFonts w:ascii="Times New Roman" w:hAnsi="Times New Roman"/>
          <w:b/>
          <w:bCs/>
          <w:sz w:val="24"/>
          <w:szCs w:val="32"/>
        </w:rPr>
        <w:t>Отчет совета директоров общества о результатах развития Акционерного     общества  по приоритетным направлениям его деятельности</w:t>
      </w:r>
    </w:p>
    <w:p w:rsidR="002163CB" w:rsidRDefault="002163CB" w:rsidP="002163CB">
      <w:pPr>
        <w:pStyle w:val="a3"/>
        <w:tabs>
          <w:tab w:val="left" w:pos="2850"/>
        </w:tabs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Основные итоги деятельности  общества за 2011год.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 xml:space="preserve">Выручка от продажи товаров, работ  и услуг составила  103393,0т.р. , по сравнению с прошлым годом она уменьшилась на -1041,0т.р.– это оборот розничной торговли 91322,0т.р. по сравнению с прошлым годом он уменьшился на 925,0т.р.; общественного питания 10065т.р. (-299,0т.р.),  предоставление в аренду помещений и продажа основных средств 2006,0т.р. 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AA0EDE">
        <w:rPr>
          <w:rFonts w:eastAsia="Calibri"/>
          <w:szCs w:val="28"/>
          <w:lang w:eastAsia="en-US"/>
        </w:rPr>
        <w:t xml:space="preserve">           Нагрузка на одного </w:t>
      </w:r>
      <w:r>
        <w:rPr>
          <w:rFonts w:eastAsia="Calibri"/>
          <w:szCs w:val="28"/>
          <w:lang w:eastAsia="en-US"/>
        </w:rPr>
        <w:t xml:space="preserve"> работника прилавка составляет 185,6т.р. (+6,8т.р.)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ab/>
        <w:t>Стоимость чистых активов на конец отчетного года составила 10050,0 т.р.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</w:t>
      </w:r>
      <w:r>
        <w:rPr>
          <w:rFonts w:eastAsia="Calibri"/>
          <w:szCs w:val="28"/>
          <w:lang w:eastAsia="en-US"/>
        </w:rPr>
        <w:tab/>
        <w:t xml:space="preserve"> Кредиторская задолженность на конец года составила 6394,0т.р., на против прошлого года она увеличилась  на +2465,0т.р. – это  текущие  задолженности перед поставщиками и подрядчиками согласно договоров на поставку товара.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</w:t>
      </w:r>
      <w:r>
        <w:rPr>
          <w:rFonts w:eastAsia="Calibri"/>
          <w:szCs w:val="28"/>
          <w:lang w:eastAsia="en-US"/>
        </w:rPr>
        <w:tab/>
        <w:t>В 2011</w:t>
      </w:r>
      <w:r w:rsidR="00642D0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году  Общество привлекало краткосрочные заемные средства, </w:t>
      </w:r>
      <w:r w:rsidR="00642D0C">
        <w:rPr>
          <w:rFonts w:eastAsia="Calibri"/>
          <w:szCs w:val="28"/>
          <w:lang w:eastAsia="en-US"/>
        </w:rPr>
        <w:t>но,</w:t>
      </w:r>
      <w:r>
        <w:rPr>
          <w:rFonts w:eastAsia="Calibri"/>
          <w:szCs w:val="28"/>
          <w:lang w:eastAsia="en-US"/>
        </w:rPr>
        <w:t xml:space="preserve"> несмотря на это имеет стабильную  финансовую устойчивость: Коэффициент абсолютной ликвидности, характеризующий платежеспособность, составил 0,02 при норме 0,2; Коэффициент текущий ликвидности  составил 1,5 при норме 2,0;  Коэффициент финансовой независи</w:t>
      </w:r>
      <w:r w:rsidR="00642D0C">
        <w:rPr>
          <w:rFonts w:eastAsia="Calibri"/>
          <w:szCs w:val="28"/>
          <w:lang w:eastAsia="en-US"/>
        </w:rPr>
        <w:t>мости  55% при норме 60% и выше.</w:t>
      </w:r>
      <w:r>
        <w:rPr>
          <w:rFonts w:eastAsia="Calibri"/>
          <w:szCs w:val="28"/>
          <w:lang w:eastAsia="en-US"/>
        </w:rPr>
        <w:t xml:space="preserve"> Коэффициент обеспеченности оборотными средствами 0,65 при норме 0,5.  Из выше указанных показателях можно сказать, что Общество является надежным партнером и всегда выполняет свои обязанности.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</w:t>
      </w:r>
      <w:r>
        <w:rPr>
          <w:rFonts w:eastAsia="Calibri"/>
          <w:szCs w:val="28"/>
          <w:lang w:eastAsia="en-US"/>
        </w:rPr>
        <w:tab/>
        <w:t>Среднесписочная численность работающих составляет 84 человек.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Фонд оплаты труда всего персонала за год составил 9446,0т.р.,  он уменьшился  на 1660,0т.р. и составляет  48% от всей суммы издержек.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Общая сумма издержек составляет 19647,0т.р., она увеличилась на +217,0т.р.  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</w:t>
      </w:r>
      <w:r>
        <w:rPr>
          <w:rFonts w:eastAsia="Calibri"/>
          <w:szCs w:val="28"/>
          <w:lang w:eastAsia="en-US"/>
        </w:rPr>
        <w:tab/>
        <w:t>Среднемесячная зарплата составляет 9,4т.р.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Чистая прибыль за 2011</w:t>
      </w:r>
      <w:r w:rsidR="00642D0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год составила 1576,0т.р.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Рентабельность основной деятельности за 2011</w:t>
      </w:r>
      <w:r w:rsidR="00642D0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год составила 1,725%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Общество имеет балансов</w:t>
      </w:r>
      <w:r w:rsidR="00642D0C">
        <w:rPr>
          <w:rFonts w:eastAsia="Calibri"/>
          <w:szCs w:val="28"/>
          <w:lang w:eastAsia="en-US"/>
        </w:rPr>
        <w:t>ую</w:t>
      </w:r>
      <w:r>
        <w:rPr>
          <w:rFonts w:eastAsia="Calibri"/>
          <w:szCs w:val="28"/>
          <w:lang w:eastAsia="en-US"/>
        </w:rPr>
        <w:t xml:space="preserve"> прибыль в сумме 3692 т.р.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</w:t>
      </w:r>
      <w:r>
        <w:rPr>
          <w:rFonts w:eastAsia="Calibri"/>
          <w:szCs w:val="28"/>
          <w:lang w:eastAsia="en-US"/>
        </w:rPr>
        <w:tab/>
        <w:t>Общая стоимость имущества Общества  составляет 18265т.р., она увеличилась на  +4513,0т.р.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Наибольший удельный вес во необоротных активах занимают основные средства 99%.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Поступило основных средств за 2011</w:t>
      </w:r>
      <w:r w:rsidR="00642D0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год на сумму 824,0т.р.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</w:t>
      </w:r>
      <w:r>
        <w:rPr>
          <w:rFonts w:eastAsia="Calibri"/>
          <w:szCs w:val="28"/>
          <w:lang w:eastAsia="en-US"/>
        </w:rPr>
        <w:tab/>
        <w:t>Оборотные активы увеличились за счет  увеличение остатков товаров для перепродажи  10163,0т.р. +1612,0т.р.</w:t>
      </w:r>
    </w:p>
    <w:p w:rsidR="002163CB" w:rsidRDefault="002163CB" w:rsidP="002163CB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</w:t>
      </w:r>
      <w:r>
        <w:rPr>
          <w:rFonts w:eastAsia="Calibri"/>
          <w:szCs w:val="28"/>
          <w:lang w:eastAsia="en-US"/>
        </w:rPr>
        <w:tab/>
        <w:t>Доля собственных средств Общества на конец отчетного года составила в пассиве  баланса 8215,0т.р.</w:t>
      </w:r>
    </w:p>
    <w:p w:rsidR="002163CB" w:rsidRDefault="002163CB" w:rsidP="002163CB">
      <w:r>
        <w:rPr>
          <w:szCs w:val="28"/>
        </w:rPr>
        <w:t>С производственной точки зрения структура активов баланса улучшилась по сравнению с прошлым годом.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5.Перспективы развития Акционерного общества</w:t>
      </w:r>
      <w:r>
        <w:rPr>
          <w:rFonts w:ascii="Times New Roman" w:hAnsi="Times New Roman"/>
          <w:sz w:val="24"/>
          <w:szCs w:val="32"/>
        </w:rPr>
        <w:t xml:space="preserve"> 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ab/>
        <w:t>Решением Совета Директоров перспективными направлениями признаны наращивание объемов товарооборота, увеличение ассортимента выпускаемой готовой продукции и полуфабрикатов в общественном питании, улучшения качества продукции и качества обслуживания, постоянное изучение потребительского спроса, увеличение объемов продаж товаров промышленной группы, поиск поставщиков предлагающих более низкие закупочные цены, контроль за расходованием электроэнергии и горюче-смазочных материалов.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6.Отчет о выплате объявленных (начисленных) дивидендов по акциям Акционерного общества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ab/>
        <w:t>Советом Директоров Открытого Акционерного Общества «Гермес» рекомендовано Общему годовому Собранию акционеров не объявлять о выплате дивидендов за 2011 год. Направить вложение средств на развитие материально-технической базы общества.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 xml:space="preserve">7.Описание основных факторов риска, связанных с деятельностью Акционерного  общества 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lastRenderedPageBreak/>
        <w:tab/>
      </w:r>
      <w:r>
        <w:rPr>
          <w:rFonts w:ascii="Times New Roman" w:hAnsi="Times New Roman"/>
          <w:sz w:val="24"/>
          <w:szCs w:val="32"/>
        </w:rPr>
        <w:t>На деятельность Акционерного общества влияют следующие риски: повышение цен на товары и сырье, на горюче-смазочные материалы и энергоносители, риски, связанные с изменением процентных ставок по кредитам, изменение налогового законодательства, увеличение налоговых ставок и изменение требований по лицензированию.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8.Перечень совершенных акционерным обществом в отчетном году сделок, признаваемых в соответствии с Федеральным Законом «Об акционерных обществах» крупными сделками, а также иных сделок, на совершение которых в соответствии с Уставом акционерного общества распространяется порядок одобрения крупных сделок, с указанием по каждой сделке ее существенных условии и органы управления Акционерного общества, принявшего решение о ее одобрении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ab/>
        <w:t xml:space="preserve">В отчетном году сделок, признаваемых в соответствии с Федеральным законом «Об акционерных обществах» </w:t>
      </w:r>
      <w:r>
        <w:rPr>
          <w:rFonts w:ascii="Times New Roman" w:hAnsi="Times New Roman"/>
          <w:sz w:val="24"/>
          <w:szCs w:val="32"/>
          <w:u w:val="single"/>
        </w:rPr>
        <w:t>крупными сделками</w:t>
      </w:r>
      <w:r>
        <w:rPr>
          <w:rFonts w:ascii="Times New Roman" w:hAnsi="Times New Roman"/>
          <w:sz w:val="24"/>
          <w:szCs w:val="32"/>
        </w:rPr>
        <w:t>, а также иных сделок, на совершение которых в соответствии с Уставом Общества распространяется порядок одобрения крупных сделок, обществом не совершалось.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 xml:space="preserve">9. </w:t>
      </w:r>
      <w:r>
        <w:rPr>
          <w:rFonts w:ascii="Times New Roman" w:hAnsi="Times New Roman"/>
          <w:sz w:val="24"/>
          <w:szCs w:val="32"/>
        </w:rPr>
        <w:t xml:space="preserve">Сделок, признаваемых в соответствии с Федеральным законом «Об акционерных обществах» </w:t>
      </w:r>
      <w:r>
        <w:rPr>
          <w:rFonts w:ascii="Times New Roman" w:hAnsi="Times New Roman"/>
          <w:sz w:val="24"/>
          <w:szCs w:val="32"/>
          <w:u w:val="single"/>
        </w:rPr>
        <w:t>сделками, в совершении которых имеется заинтересованность,</w:t>
      </w:r>
      <w:r>
        <w:rPr>
          <w:rFonts w:ascii="Times New Roman" w:hAnsi="Times New Roman"/>
          <w:sz w:val="24"/>
          <w:szCs w:val="32"/>
        </w:rPr>
        <w:t xml:space="preserve"> не совершалось.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10. Состав Совета Директоров Акционерного общества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ab/>
      </w:r>
    </w:p>
    <w:tbl>
      <w:tblPr>
        <w:tblW w:w="922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340"/>
        <w:gridCol w:w="2520"/>
        <w:gridCol w:w="1914"/>
        <w:gridCol w:w="1915"/>
      </w:tblGrid>
      <w:tr w:rsidR="002163CB" w:rsidTr="002163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№ п/п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Фамилия Имя Отчество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Краткие биографические данные членов Совета директоров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Доля участия в уставном капитале АО</w:t>
            </w:r>
            <w:r w:rsidR="00AA0EDE">
              <w:rPr>
                <w:rFonts w:ascii="Times New Roman" w:hAnsi="Times New Roman"/>
                <w:sz w:val="24"/>
                <w:szCs w:val="32"/>
              </w:rPr>
              <w:t>,</w:t>
            </w:r>
          </w:p>
          <w:p w:rsidR="00AA0EDE" w:rsidRDefault="00AA0ED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Доля принадлежащих обыкновенных акций АО</w:t>
            </w:r>
            <w:r w:rsidR="00AA0EDE">
              <w:rPr>
                <w:rFonts w:ascii="Times New Roman" w:hAnsi="Times New Roman"/>
                <w:sz w:val="24"/>
                <w:szCs w:val="32"/>
              </w:rPr>
              <w:t>,</w:t>
            </w:r>
          </w:p>
          <w:p w:rsidR="00AA0EDE" w:rsidRDefault="00AA0ED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%</w:t>
            </w:r>
          </w:p>
        </w:tc>
      </w:tr>
      <w:tr w:rsidR="002163CB" w:rsidTr="00083204">
        <w:trPr>
          <w:trHeight w:val="12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Баскаков Владимир Алексеевич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Генеральный директор ОАО «Костромакоопцентр»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-</w:t>
            </w:r>
          </w:p>
        </w:tc>
      </w:tr>
      <w:tr w:rsidR="00083204" w:rsidTr="0068549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04" w:rsidRDefault="0008320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04" w:rsidRDefault="0008320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Бахвалов Владимир Валентинович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04" w:rsidRDefault="00083204" w:rsidP="0008320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31.01.1970г.р.</w:t>
            </w:r>
          </w:p>
          <w:p w:rsidR="00083204" w:rsidRDefault="00083204" w:rsidP="0008320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Заместитель генерального директора ОАО «Гермес»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04" w:rsidRDefault="0008320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04" w:rsidRDefault="0008320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-</w:t>
            </w:r>
          </w:p>
        </w:tc>
      </w:tr>
      <w:tr w:rsidR="002163CB" w:rsidTr="002163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08320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3</w:t>
            </w:r>
            <w:r w:rsidR="002163CB">
              <w:rPr>
                <w:rFonts w:ascii="Times New Roman" w:hAnsi="Times New Roman"/>
                <w:sz w:val="24"/>
                <w:szCs w:val="3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Боброва Нина Михайловна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CB" w:rsidRDefault="002163CB" w:rsidP="00F02C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27.03.53 г.р., Главный бухгалтер ОАО «Гермес»</w:t>
            </w:r>
            <w:r w:rsidR="00083204">
              <w:rPr>
                <w:rFonts w:ascii="Times New Roman" w:hAnsi="Times New Roman"/>
                <w:sz w:val="24"/>
                <w:szCs w:val="32"/>
              </w:rPr>
              <w:t xml:space="preserve"> до </w:t>
            </w:r>
            <w:r w:rsidR="005837D1">
              <w:rPr>
                <w:rFonts w:ascii="Times New Roman" w:hAnsi="Times New Roman"/>
                <w:sz w:val="24"/>
                <w:szCs w:val="32"/>
              </w:rPr>
              <w:t>31.05.2011г.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0,4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0,4</w:t>
            </w:r>
          </w:p>
        </w:tc>
      </w:tr>
      <w:tr w:rsidR="002163CB" w:rsidTr="002163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Красильников Владимир Владимирович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 w:rsidP="00B641F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12.04.74 г.р., </w:t>
            </w:r>
            <w:r w:rsidR="00B641F5">
              <w:rPr>
                <w:rFonts w:ascii="Times New Roman" w:hAnsi="Times New Roman"/>
                <w:sz w:val="24"/>
                <w:szCs w:val="32"/>
              </w:rPr>
              <w:t>Заместитель генерального директора по торговле</w:t>
            </w:r>
            <w:r>
              <w:rPr>
                <w:rFonts w:ascii="Times New Roman" w:hAnsi="Times New Roman"/>
                <w:sz w:val="24"/>
                <w:szCs w:val="32"/>
              </w:rPr>
              <w:t xml:space="preserve"> ОАО «Гермес»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0,14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0,14</w:t>
            </w:r>
          </w:p>
        </w:tc>
      </w:tr>
      <w:tr w:rsidR="002163CB" w:rsidTr="002163C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F02C73" w:rsidP="00F02C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5</w:t>
            </w:r>
            <w:r w:rsidR="002163CB">
              <w:rPr>
                <w:rFonts w:ascii="Times New Roman" w:hAnsi="Times New Roman"/>
                <w:sz w:val="24"/>
                <w:szCs w:val="3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Ронина Елена Владимировна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376CA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30.05.71</w:t>
            </w:r>
            <w:r w:rsidR="002163CB">
              <w:rPr>
                <w:rFonts w:ascii="Times New Roman" w:hAnsi="Times New Roman"/>
                <w:sz w:val="24"/>
                <w:szCs w:val="32"/>
              </w:rPr>
              <w:t xml:space="preserve"> г.р., Заместитель Генерального директора по </w:t>
            </w:r>
            <w:r w:rsidR="002163CB">
              <w:rPr>
                <w:rFonts w:ascii="Times New Roman" w:hAnsi="Times New Roman"/>
                <w:sz w:val="24"/>
                <w:szCs w:val="32"/>
              </w:rPr>
              <w:lastRenderedPageBreak/>
              <w:t>коммерческим вопросам ОАО «Гермес»</w:t>
            </w:r>
            <w:r w:rsidR="00083204">
              <w:rPr>
                <w:rFonts w:ascii="Times New Roman" w:hAnsi="Times New Roman"/>
                <w:sz w:val="24"/>
                <w:szCs w:val="32"/>
              </w:rPr>
              <w:t xml:space="preserve"> до</w:t>
            </w:r>
            <w:r w:rsidR="00B4043B">
              <w:rPr>
                <w:rFonts w:ascii="Times New Roman" w:hAnsi="Times New Roman"/>
                <w:sz w:val="24"/>
                <w:szCs w:val="32"/>
              </w:rPr>
              <w:t xml:space="preserve"> 11.01.2009г.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68549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lastRenderedPageBreak/>
              <w:t>21,81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68549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21,81</w:t>
            </w:r>
          </w:p>
        </w:tc>
      </w:tr>
      <w:tr w:rsidR="002163CB" w:rsidTr="002B78F4">
        <w:trPr>
          <w:cantSplit/>
          <w:trHeight w:val="1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F02C73" w:rsidP="00F02C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lastRenderedPageBreak/>
              <w:t>6</w:t>
            </w:r>
            <w:r w:rsidR="002163CB">
              <w:rPr>
                <w:rFonts w:ascii="Times New Roman" w:hAnsi="Times New Roman"/>
                <w:sz w:val="24"/>
                <w:szCs w:val="32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Смирнов Владимир Иванович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2163C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23.07.45 г.р., Генеральный директор ОАО «Гермес»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68549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3CB" w:rsidRDefault="0068549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-</w:t>
            </w:r>
          </w:p>
        </w:tc>
      </w:tr>
      <w:tr w:rsidR="002B78F4" w:rsidTr="002B78F4">
        <w:trPr>
          <w:cantSplit/>
          <w:trHeight w:val="15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 w:rsidP="00F02C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7.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Целищева Татьяна Николаевна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23.11.1966 г.р.,</w:t>
            </w:r>
          </w:p>
          <w:p w:rsidR="002B78F4" w:rsidRDefault="002B78F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Директор общественного питания ОАО «Гермес»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0,2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0,2</w:t>
            </w:r>
          </w:p>
        </w:tc>
      </w:tr>
      <w:tr w:rsidR="002B78F4" w:rsidTr="002163C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 w:rsidP="00F02C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8F4" w:rsidRDefault="002B78F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32"/>
              </w:rPr>
            </w:pPr>
          </w:p>
        </w:tc>
      </w:tr>
    </w:tbl>
    <w:p w:rsidR="002163CB" w:rsidRDefault="002163CB" w:rsidP="002163CB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</w:p>
    <w:p w:rsidR="002163CB" w:rsidRDefault="00DA186C" w:rsidP="002163CB">
      <w:pPr>
        <w:pStyle w:val="a3"/>
        <w:ind w:left="-540" w:firstLine="54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течение отчетного года членом</w:t>
      </w:r>
      <w:r w:rsidR="002163CB">
        <w:rPr>
          <w:rFonts w:ascii="Times New Roman" w:hAnsi="Times New Roman"/>
          <w:sz w:val="24"/>
          <w:szCs w:val="32"/>
        </w:rPr>
        <w:t xml:space="preserve"> Совета Директоров </w:t>
      </w:r>
      <w:r>
        <w:rPr>
          <w:rFonts w:ascii="Times New Roman" w:hAnsi="Times New Roman"/>
          <w:sz w:val="24"/>
          <w:szCs w:val="32"/>
        </w:rPr>
        <w:t xml:space="preserve"> произведена сдел</w:t>
      </w:r>
      <w:r w:rsidR="002163CB">
        <w:rPr>
          <w:rFonts w:ascii="Times New Roman" w:hAnsi="Times New Roman"/>
          <w:sz w:val="24"/>
          <w:szCs w:val="32"/>
        </w:rPr>
        <w:t>к</w:t>
      </w:r>
      <w:r>
        <w:rPr>
          <w:rFonts w:ascii="Times New Roman" w:hAnsi="Times New Roman"/>
          <w:sz w:val="24"/>
          <w:szCs w:val="32"/>
        </w:rPr>
        <w:t>а</w:t>
      </w:r>
      <w:r w:rsidR="002163CB">
        <w:rPr>
          <w:rFonts w:ascii="Times New Roman" w:hAnsi="Times New Roman"/>
          <w:sz w:val="24"/>
          <w:szCs w:val="32"/>
        </w:rPr>
        <w:t xml:space="preserve"> по </w:t>
      </w:r>
      <w:r>
        <w:rPr>
          <w:rFonts w:ascii="Times New Roman" w:hAnsi="Times New Roman"/>
          <w:sz w:val="24"/>
          <w:szCs w:val="32"/>
        </w:rPr>
        <w:t>приобретению акций ОАО «Гермес»:</w:t>
      </w:r>
    </w:p>
    <w:p w:rsidR="00DA186C" w:rsidRDefault="00DA186C" w:rsidP="00DA186C">
      <w:pPr>
        <w:pStyle w:val="a3"/>
        <w:ind w:left="72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Ронина Елена Владимировна - 30.05.75 г.р.,–</w:t>
      </w:r>
      <w:r w:rsidR="002B78F4" w:rsidRPr="002B78F4">
        <w:rPr>
          <w:rFonts w:ascii="Times New Roman" w:hAnsi="Times New Roman"/>
          <w:sz w:val="24"/>
          <w:szCs w:val="32"/>
        </w:rPr>
        <w:t xml:space="preserve"> </w:t>
      </w:r>
      <w:r w:rsidR="002B78F4">
        <w:rPr>
          <w:rFonts w:ascii="Times New Roman" w:hAnsi="Times New Roman"/>
          <w:sz w:val="24"/>
          <w:szCs w:val="32"/>
          <w:lang w:val="en-US"/>
        </w:rPr>
        <w:t>III</w:t>
      </w:r>
      <w:r w:rsidR="002B78F4" w:rsidRPr="002B78F4">
        <w:rPr>
          <w:rFonts w:ascii="Times New Roman" w:hAnsi="Times New Roman"/>
          <w:sz w:val="24"/>
          <w:szCs w:val="32"/>
        </w:rPr>
        <w:t xml:space="preserve"> </w:t>
      </w:r>
      <w:r w:rsidR="002B78F4">
        <w:rPr>
          <w:rFonts w:ascii="Times New Roman" w:hAnsi="Times New Roman"/>
          <w:sz w:val="24"/>
          <w:szCs w:val="32"/>
        </w:rPr>
        <w:t>квартал 2012 года -</w:t>
      </w:r>
      <w:r>
        <w:rPr>
          <w:rFonts w:ascii="Times New Roman" w:hAnsi="Times New Roman"/>
          <w:sz w:val="24"/>
          <w:szCs w:val="32"/>
        </w:rPr>
        <w:t xml:space="preserve"> доля участия в уставном капитале АО было: 19,65%   стало:  21,81</w:t>
      </w:r>
    </w:p>
    <w:p w:rsidR="002163CB" w:rsidRDefault="002163CB" w:rsidP="002163CB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</w:p>
    <w:p w:rsidR="00DA186C" w:rsidRDefault="002163CB" w:rsidP="00DA186C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ab/>
      </w:r>
      <w:r w:rsidR="00DA186C">
        <w:rPr>
          <w:rFonts w:ascii="Times New Roman" w:hAnsi="Times New Roman"/>
          <w:sz w:val="24"/>
          <w:szCs w:val="32"/>
        </w:rPr>
        <w:t>В течение отчетного года членом</w:t>
      </w:r>
      <w:r>
        <w:rPr>
          <w:rFonts w:ascii="Times New Roman" w:hAnsi="Times New Roman"/>
          <w:sz w:val="24"/>
          <w:szCs w:val="32"/>
        </w:rPr>
        <w:t xml:space="preserve"> Совета Директоров </w:t>
      </w:r>
      <w:r w:rsidR="00DA186C">
        <w:rPr>
          <w:rFonts w:ascii="Times New Roman" w:hAnsi="Times New Roman"/>
          <w:sz w:val="24"/>
          <w:szCs w:val="32"/>
        </w:rPr>
        <w:t>произве</w:t>
      </w:r>
      <w:r>
        <w:rPr>
          <w:rFonts w:ascii="Times New Roman" w:hAnsi="Times New Roman"/>
          <w:sz w:val="24"/>
          <w:szCs w:val="32"/>
        </w:rPr>
        <w:t>д</w:t>
      </w:r>
      <w:r w:rsidR="00DA186C">
        <w:rPr>
          <w:rFonts w:ascii="Times New Roman" w:hAnsi="Times New Roman"/>
          <w:sz w:val="24"/>
          <w:szCs w:val="32"/>
        </w:rPr>
        <w:t>ена сделка</w:t>
      </w:r>
      <w:r>
        <w:rPr>
          <w:rFonts w:ascii="Times New Roman" w:hAnsi="Times New Roman"/>
          <w:sz w:val="24"/>
          <w:szCs w:val="32"/>
        </w:rPr>
        <w:t xml:space="preserve"> по отчуждению акций ОАО «Гермес»</w:t>
      </w:r>
      <w:r w:rsidR="00DA186C">
        <w:rPr>
          <w:rFonts w:ascii="Times New Roman" w:hAnsi="Times New Roman"/>
          <w:sz w:val="24"/>
          <w:szCs w:val="32"/>
        </w:rPr>
        <w:t>:</w:t>
      </w:r>
    </w:p>
    <w:p w:rsidR="00DA186C" w:rsidRDefault="002163CB" w:rsidP="00DA186C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</w:t>
      </w:r>
      <w:r w:rsidR="00DA186C">
        <w:rPr>
          <w:rFonts w:ascii="Times New Roman" w:hAnsi="Times New Roman"/>
          <w:sz w:val="24"/>
          <w:szCs w:val="32"/>
        </w:rPr>
        <w:t xml:space="preserve">Смирнов Владимир Иванович – 23.07.45 г.р., Генеральный директор ОАО «Гермес» - </w:t>
      </w:r>
      <w:r w:rsidR="002B78F4">
        <w:rPr>
          <w:rFonts w:ascii="Times New Roman" w:hAnsi="Times New Roman"/>
          <w:sz w:val="24"/>
          <w:szCs w:val="32"/>
          <w:lang w:val="en-US"/>
        </w:rPr>
        <w:t>III</w:t>
      </w:r>
      <w:r w:rsidR="002B78F4" w:rsidRPr="002B78F4">
        <w:rPr>
          <w:rFonts w:ascii="Times New Roman" w:hAnsi="Times New Roman"/>
          <w:sz w:val="24"/>
          <w:szCs w:val="32"/>
        </w:rPr>
        <w:t xml:space="preserve"> </w:t>
      </w:r>
      <w:r w:rsidR="002B78F4">
        <w:rPr>
          <w:rFonts w:ascii="Times New Roman" w:hAnsi="Times New Roman"/>
          <w:sz w:val="24"/>
          <w:szCs w:val="32"/>
        </w:rPr>
        <w:t xml:space="preserve">квартал 2012 года </w:t>
      </w:r>
      <w:r w:rsidR="00DA186C">
        <w:rPr>
          <w:rFonts w:ascii="Times New Roman" w:hAnsi="Times New Roman"/>
          <w:sz w:val="24"/>
          <w:szCs w:val="32"/>
        </w:rPr>
        <w:t>– доля участия в уставном капитале АО было: 1,36  стало:  0</w:t>
      </w:r>
    </w:p>
    <w:p w:rsidR="002163CB" w:rsidRDefault="002163CB" w:rsidP="002163CB">
      <w:pPr>
        <w:pStyle w:val="a3"/>
        <w:ind w:left="-360"/>
        <w:jc w:val="both"/>
        <w:rPr>
          <w:rFonts w:ascii="Times New Roman" w:hAnsi="Times New Roman"/>
          <w:b/>
          <w:bCs/>
          <w:sz w:val="24"/>
          <w:szCs w:val="32"/>
        </w:rPr>
      </w:pPr>
    </w:p>
    <w:p w:rsidR="002163CB" w:rsidRDefault="002163CB" w:rsidP="002163CB">
      <w:pPr>
        <w:pStyle w:val="a3"/>
        <w:ind w:left="-360"/>
        <w:jc w:val="both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11. Сведения об единоличном исполнительном органе.</w:t>
      </w:r>
    </w:p>
    <w:p w:rsidR="002163CB" w:rsidRDefault="002163CB" w:rsidP="002163CB">
      <w:pPr>
        <w:pStyle w:val="a3"/>
        <w:ind w:left="-360"/>
        <w:jc w:val="both"/>
        <w:rPr>
          <w:rFonts w:ascii="Times New Roman" w:hAnsi="Times New Roman"/>
          <w:b/>
          <w:bCs/>
          <w:sz w:val="24"/>
          <w:szCs w:val="32"/>
        </w:rPr>
      </w:pPr>
    </w:p>
    <w:p w:rsidR="002163CB" w:rsidRDefault="002163CB" w:rsidP="002163CB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ab/>
      </w:r>
      <w:r>
        <w:rPr>
          <w:rFonts w:ascii="Times New Roman" w:hAnsi="Times New Roman"/>
          <w:sz w:val="24"/>
          <w:szCs w:val="32"/>
        </w:rPr>
        <w:t xml:space="preserve">Смирнов Владимир Иванович – 23.07.1945 г.р., образование высшее, является Генеральным директором ОАО «Гермес» и осуществляет функции единоличного исполнительного органа. </w:t>
      </w:r>
    </w:p>
    <w:p w:rsidR="00DA186C" w:rsidRDefault="00DA186C" w:rsidP="00DA186C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</w:p>
    <w:p w:rsidR="00DA186C" w:rsidRDefault="00DA186C" w:rsidP="00DA186C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течение отчетного года единоличным исполнительным органом  произведена сделка по отчуждению акций ОАО «Гермес»:</w:t>
      </w:r>
    </w:p>
    <w:p w:rsidR="00DA186C" w:rsidRDefault="00DA186C" w:rsidP="00DA186C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Смирнов Владимир Иванович – 23.07.45 г.р., Генеральный директор ОАО «Гермес» - </w:t>
      </w:r>
      <w:r w:rsidR="002B78F4">
        <w:rPr>
          <w:rFonts w:ascii="Times New Roman" w:hAnsi="Times New Roman"/>
          <w:sz w:val="24"/>
          <w:szCs w:val="32"/>
          <w:lang w:val="en-US"/>
        </w:rPr>
        <w:t>III</w:t>
      </w:r>
      <w:r w:rsidR="002B78F4" w:rsidRPr="002B78F4">
        <w:rPr>
          <w:rFonts w:ascii="Times New Roman" w:hAnsi="Times New Roman"/>
          <w:sz w:val="24"/>
          <w:szCs w:val="32"/>
        </w:rPr>
        <w:t xml:space="preserve"> </w:t>
      </w:r>
      <w:r w:rsidR="002B78F4">
        <w:rPr>
          <w:rFonts w:ascii="Times New Roman" w:hAnsi="Times New Roman"/>
          <w:sz w:val="24"/>
          <w:szCs w:val="32"/>
        </w:rPr>
        <w:t xml:space="preserve">квартал 2012 года </w:t>
      </w:r>
      <w:r>
        <w:rPr>
          <w:rFonts w:ascii="Times New Roman" w:hAnsi="Times New Roman"/>
          <w:sz w:val="24"/>
          <w:szCs w:val="32"/>
        </w:rPr>
        <w:t>– доля участия в уставном капитале АО было: 1,36  стало:  0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F02C73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 xml:space="preserve">Положением </w:t>
      </w:r>
      <w:r>
        <w:rPr>
          <w:rFonts w:ascii="Times New Roman" w:hAnsi="Times New Roman"/>
          <w:sz w:val="24"/>
          <w:szCs w:val="32"/>
        </w:rPr>
        <w:t xml:space="preserve">о Совете Директоров ОАО «Гермес критерии определения и размер вознаграждения лицу, занимающему единоличный исполнительный орган и членам Совета Директоров, </w:t>
      </w:r>
      <w:r>
        <w:rPr>
          <w:rFonts w:ascii="Times New Roman" w:hAnsi="Times New Roman"/>
          <w:b/>
          <w:bCs/>
          <w:sz w:val="24"/>
          <w:szCs w:val="32"/>
          <w:u w:val="single"/>
        </w:rPr>
        <w:t>не предусмотрено.</w:t>
      </w:r>
    </w:p>
    <w:p w:rsidR="002163CB" w:rsidRDefault="002163CB" w:rsidP="00F02C73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F02C73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12.</w:t>
      </w:r>
      <w:r>
        <w:rPr>
          <w:rFonts w:ascii="Times New Roman" w:hAnsi="Times New Roman"/>
          <w:sz w:val="24"/>
          <w:szCs w:val="32"/>
        </w:rPr>
        <w:t xml:space="preserve"> Акционерное общество в своей деятельности руководствуется Кодексом корпоративного поведения.</w:t>
      </w:r>
    </w:p>
    <w:p w:rsidR="002163CB" w:rsidRDefault="002163CB" w:rsidP="00F02C73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F02C73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>13.</w:t>
      </w:r>
      <w:r>
        <w:rPr>
          <w:rFonts w:ascii="Times New Roman" w:hAnsi="Times New Roman"/>
          <w:sz w:val="24"/>
          <w:szCs w:val="32"/>
        </w:rPr>
        <w:t xml:space="preserve"> Иной информации, предусмотренной Уставом Акционерного общества или иными внутренними документами АО, не имеется. </w:t>
      </w:r>
    </w:p>
    <w:p w:rsidR="002163CB" w:rsidRDefault="002163CB" w:rsidP="00F02C73">
      <w:pPr>
        <w:pStyle w:val="a3"/>
        <w:ind w:left="-360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Генеральный директор ОАО «Гермес»                                                 Смирнов В.И.</w:t>
      </w: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</w:p>
    <w:p w:rsidR="002163CB" w:rsidRDefault="002163CB" w:rsidP="002163CB">
      <w:pPr>
        <w:pStyle w:val="a3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Главный бухгалтер ОАО «Гермес»                                                        </w:t>
      </w:r>
      <w:r w:rsidR="00B4043B">
        <w:rPr>
          <w:rFonts w:ascii="Times New Roman" w:hAnsi="Times New Roman"/>
          <w:sz w:val="24"/>
          <w:szCs w:val="32"/>
        </w:rPr>
        <w:t>Козлова Л.С.</w:t>
      </w:r>
    </w:p>
    <w:sectPr w:rsidR="002163CB" w:rsidSect="002B78F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4362F"/>
    <w:multiLevelType w:val="hybridMultilevel"/>
    <w:tmpl w:val="33F6A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D6162"/>
    <w:multiLevelType w:val="multilevel"/>
    <w:tmpl w:val="EB5228EA"/>
    <w:lvl w:ilvl="0">
      <w:start w:val="1"/>
      <w:numFmt w:val="decimal"/>
      <w:lvlText w:val="%1."/>
      <w:lvlJc w:val="left"/>
      <w:pPr>
        <w:ind w:left="2745" w:hanging="360"/>
      </w:pPr>
    </w:lvl>
    <w:lvl w:ilvl="1">
      <w:start w:val="1"/>
      <w:numFmt w:val="decimal"/>
      <w:isLgl/>
      <w:lvlText w:val="%1.%2."/>
      <w:lvlJc w:val="left"/>
      <w:pPr>
        <w:ind w:left="3105" w:hanging="720"/>
      </w:pPr>
    </w:lvl>
    <w:lvl w:ilvl="2">
      <w:start w:val="1"/>
      <w:numFmt w:val="decimal"/>
      <w:isLgl/>
      <w:lvlText w:val="%1.%2.%3."/>
      <w:lvlJc w:val="left"/>
      <w:pPr>
        <w:ind w:left="3105" w:hanging="720"/>
      </w:pPr>
    </w:lvl>
    <w:lvl w:ilvl="3">
      <w:start w:val="1"/>
      <w:numFmt w:val="decimal"/>
      <w:isLgl/>
      <w:lvlText w:val="%1.%2.%3.%4."/>
      <w:lvlJc w:val="left"/>
      <w:pPr>
        <w:ind w:left="3465" w:hanging="1080"/>
      </w:pPr>
    </w:lvl>
    <w:lvl w:ilvl="4">
      <w:start w:val="1"/>
      <w:numFmt w:val="decimal"/>
      <w:isLgl/>
      <w:lvlText w:val="%1.%2.%3.%4.%5."/>
      <w:lvlJc w:val="left"/>
      <w:pPr>
        <w:ind w:left="3825" w:hanging="1440"/>
      </w:pPr>
    </w:lvl>
    <w:lvl w:ilvl="5">
      <w:start w:val="1"/>
      <w:numFmt w:val="decimal"/>
      <w:isLgl/>
      <w:lvlText w:val="%1.%2.%3.%4.%5.%6."/>
      <w:lvlJc w:val="left"/>
      <w:pPr>
        <w:ind w:left="3825" w:hanging="1440"/>
      </w:pPr>
    </w:lvl>
    <w:lvl w:ilvl="6">
      <w:start w:val="1"/>
      <w:numFmt w:val="decimal"/>
      <w:isLgl/>
      <w:lvlText w:val="%1.%2.%3.%4.%5.%6.%7."/>
      <w:lvlJc w:val="left"/>
      <w:pPr>
        <w:ind w:left="4185" w:hanging="1800"/>
      </w:pPr>
    </w:lvl>
    <w:lvl w:ilvl="7">
      <w:start w:val="1"/>
      <w:numFmt w:val="decimal"/>
      <w:isLgl/>
      <w:lvlText w:val="%1.%2.%3.%4.%5.%6.%7.%8."/>
      <w:lvlJc w:val="left"/>
      <w:pPr>
        <w:ind w:left="4545" w:hanging="2160"/>
      </w:pPr>
    </w:lvl>
    <w:lvl w:ilvl="8">
      <w:start w:val="1"/>
      <w:numFmt w:val="decimal"/>
      <w:isLgl/>
      <w:lvlText w:val="%1.%2.%3.%4.%5.%6.%7.%8.%9."/>
      <w:lvlJc w:val="left"/>
      <w:pPr>
        <w:ind w:left="4545" w:hanging="2160"/>
      </w:pPr>
    </w:lvl>
  </w:abstractNum>
  <w:abstractNum w:abstractNumId="2">
    <w:nsid w:val="4DF501C3"/>
    <w:multiLevelType w:val="hybridMultilevel"/>
    <w:tmpl w:val="F8103766"/>
    <w:lvl w:ilvl="0" w:tplc="263AF11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553A4EAB"/>
    <w:multiLevelType w:val="hybridMultilevel"/>
    <w:tmpl w:val="7FDCC084"/>
    <w:lvl w:ilvl="0" w:tplc="88EC66C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3CB"/>
    <w:rsid w:val="00083204"/>
    <w:rsid w:val="000A3E51"/>
    <w:rsid w:val="002163CB"/>
    <w:rsid w:val="002A33D5"/>
    <w:rsid w:val="002B78F4"/>
    <w:rsid w:val="002C765C"/>
    <w:rsid w:val="00370293"/>
    <w:rsid w:val="00376CA2"/>
    <w:rsid w:val="005837D1"/>
    <w:rsid w:val="00642D0C"/>
    <w:rsid w:val="0068549E"/>
    <w:rsid w:val="006A3B74"/>
    <w:rsid w:val="009B1D28"/>
    <w:rsid w:val="009C2838"/>
    <w:rsid w:val="00AA0EDE"/>
    <w:rsid w:val="00B26EF4"/>
    <w:rsid w:val="00B4043B"/>
    <w:rsid w:val="00B641F5"/>
    <w:rsid w:val="00DA186C"/>
    <w:rsid w:val="00E5090C"/>
    <w:rsid w:val="00EC2D75"/>
    <w:rsid w:val="00EC34F2"/>
    <w:rsid w:val="00F02C73"/>
    <w:rsid w:val="00F36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163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4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1DAB-85DB-4E43-A49F-84B71E4E0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Luba</cp:lastModifiedBy>
  <cp:revision>2</cp:revision>
  <cp:lastPrinted>2012-03-23T08:40:00Z</cp:lastPrinted>
  <dcterms:created xsi:type="dcterms:W3CDTF">2012-04-02T07:01:00Z</dcterms:created>
  <dcterms:modified xsi:type="dcterms:W3CDTF">2012-04-02T07:01:00Z</dcterms:modified>
</cp:coreProperties>
</file>